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A4EA7" w14:textId="079B5595" w:rsidR="00C75461" w:rsidRPr="00C662D6" w:rsidRDefault="00615E6F" w:rsidP="00615E6F">
      <w:pPr>
        <w:pStyle w:val="TableBodyText85"/>
        <w:spacing w:before="100" w:after="10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6D2EECCC" wp14:editId="67854AA1">
            <wp:extent cx="283845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bottomFromText="200" w:vertAnchor="text" w:horzAnchor="margin" w:tblpY="136"/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0"/>
      </w:tblGrid>
      <w:tr w:rsidR="00F52C3D" w:rsidRPr="00F52C3D" w14:paraId="09EEB722" w14:textId="77777777" w:rsidTr="00615E6F">
        <w:trPr>
          <w:trHeight w:val="2494"/>
        </w:trPr>
        <w:tc>
          <w:tcPr>
            <w:tcW w:w="9350" w:type="dxa"/>
            <w:vAlign w:val="center"/>
          </w:tcPr>
          <w:p w14:paraId="03E7E7C1" w14:textId="77777777" w:rsidR="00F52C3D" w:rsidRDefault="00F52C3D" w:rsidP="00615E6F">
            <w:pPr>
              <w:pStyle w:val="MELawyerName"/>
              <w:ind w:left="1588"/>
              <w:jc w:val="right"/>
              <w:rPr>
                <w:rFonts w:ascii="Arial" w:hAnsi="Arial" w:cs="Arial"/>
                <w:noProof/>
                <w:color w:val="44546A" w:themeColor="text2"/>
                <w:sz w:val="22"/>
              </w:rPr>
            </w:pPr>
          </w:p>
          <w:p w14:paraId="40F83456" w14:textId="6254C498" w:rsidR="00C75461" w:rsidRPr="00FF5F94" w:rsidRDefault="00C75461" w:rsidP="00615E6F">
            <w:pPr>
              <w:pStyle w:val="MELawyerName"/>
              <w:ind w:left="1588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F5F94">
              <w:rPr>
                <w:rFonts w:ascii="Arial" w:hAnsi="Arial" w:cs="Arial"/>
                <w:noProof/>
                <w:color w:val="auto"/>
                <w:sz w:val="22"/>
                <w:lang w:val="en-US" w:eastAsia="en-US" w:bidi="ar-SA"/>
              </w:rPr>
              <w:drawing>
                <wp:anchor distT="0" distB="0" distL="114300" distR="114300" simplePos="0" relativeHeight="251679232" behindDoc="0" locked="0" layoutInCell="1" allowOverlap="1" wp14:anchorId="11313869" wp14:editId="284DE1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85190" cy="114427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F5F94">
              <w:rPr>
                <w:rFonts w:ascii="Arial" w:hAnsi="Arial" w:cs="Arial"/>
                <w:noProof/>
                <w:color w:val="auto"/>
                <w:sz w:val="22"/>
              </w:rPr>
              <w:t>Stephen Lewis</w:t>
            </w:r>
            <w:r w:rsidR="00F52C3D" w:rsidRPr="00FF5F94">
              <w:rPr>
                <w:rFonts w:ascii="Arial" w:hAnsi="Arial" w:cs="Arial"/>
                <w:noProof/>
                <w:color w:val="auto"/>
                <w:sz w:val="18"/>
                <w:szCs w:val="18"/>
              </w:rPr>
              <w:t xml:space="preserve">                                  </w:t>
            </w:r>
          </w:p>
          <w:p w14:paraId="0CFC8EA7" w14:textId="489AD1DD" w:rsidR="00C75461" w:rsidRDefault="00C75461" w:rsidP="00615E6F">
            <w:pPr>
              <w:pStyle w:val="MELawyergroup"/>
              <w:ind w:left="1588"/>
              <w:rPr>
                <w:rFonts w:ascii="Arial" w:hAnsi="Arial" w:cs="Arial"/>
                <w:noProof/>
                <w:sz w:val="18"/>
                <w:szCs w:val="18"/>
              </w:rPr>
            </w:pPr>
            <w:r w:rsidRPr="00FF5F94">
              <w:rPr>
                <w:rFonts w:ascii="Arial" w:hAnsi="Arial" w:cs="Arial"/>
                <w:noProof/>
                <w:sz w:val="18"/>
                <w:szCs w:val="18"/>
              </w:rPr>
              <w:t>Consultant</w:t>
            </w:r>
          </w:p>
          <w:p w14:paraId="7671F887" w14:textId="498EAA9A" w:rsidR="00A92509" w:rsidRPr="00A92509" w:rsidRDefault="00A92509" w:rsidP="00615E6F">
            <w:pPr>
              <w:rPr>
                <w:rFonts w:ascii="Arial" w:hAnsi="Arial" w:cs="Arial"/>
              </w:rPr>
            </w:pPr>
            <w:r w:rsidRPr="00A92509">
              <w:rPr>
                <w:rFonts w:ascii="Arial" w:hAnsi="Arial" w:cs="Arial"/>
              </w:rPr>
              <w:t>SWL Consulting</w:t>
            </w:r>
          </w:p>
          <w:p w14:paraId="2B1CC643" w14:textId="5883B2FC" w:rsidR="00C75461" w:rsidRPr="00F52C3D" w:rsidRDefault="00C75461" w:rsidP="00676FE4">
            <w:pPr>
              <w:rPr>
                <w:color w:val="44546A" w:themeColor="text2"/>
              </w:rPr>
            </w:pPr>
          </w:p>
        </w:tc>
      </w:tr>
    </w:tbl>
    <w:p w14:paraId="59582D4C" w14:textId="3563E95B" w:rsidR="00C75461" w:rsidRPr="00FF5F94" w:rsidRDefault="00FF5F94" w:rsidP="00F52C3D">
      <w:pPr>
        <w:pStyle w:val="Style1"/>
        <w:rPr>
          <w:rFonts w:ascii="Arial" w:hAnsi="Arial" w:cs="Arial"/>
          <w:b/>
          <w:sz w:val="18"/>
          <w:szCs w:val="18"/>
        </w:rPr>
      </w:pPr>
      <w:r w:rsidRPr="00FF5F94">
        <w:rPr>
          <w:rFonts w:ascii="Arial" w:eastAsia="Times New Roman" w:hAnsi="Arial"/>
          <w:b/>
          <w:sz w:val="20"/>
          <w:lang w:val="en-AU" w:eastAsia="zh-CN"/>
        </w:rPr>
        <w:t>Procurement</w:t>
      </w:r>
      <w:r w:rsidR="00615E6F">
        <w:rPr>
          <w:rFonts w:ascii="Arial" w:eastAsia="Times New Roman" w:hAnsi="Arial"/>
          <w:b/>
          <w:sz w:val="20"/>
          <w:lang w:val="en-AU" w:eastAsia="zh-CN"/>
        </w:rPr>
        <w:t>, Risk Management</w:t>
      </w:r>
      <w:r w:rsidR="004C0496">
        <w:rPr>
          <w:rFonts w:ascii="Arial" w:eastAsia="Times New Roman" w:hAnsi="Arial"/>
          <w:b/>
          <w:sz w:val="20"/>
          <w:lang w:val="en-AU" w:eastAsia="zh-CN"/>
        </w:rPr>
        <w:t xml:space="preserve"> and Major Projects </w:t>
      </w:r>
      <w:r w:rsidR="00F52C3D" w:rsidRPr="00FF5F94">
        <w:rPr>
          <w:rFonts w:ascii="Arial" w:hAnsi="Arial" w:cs="Arial"/>
          <w:b/>
          <w:sz w:val="18"/>
          <w:szCs w:val="18"/>
        </w:rPr>
        <w:t xml:space="preserve"> </w:t>
      </w:r>
    </w:p>
    <w:p w14:paraId="73B2D5A4" w14:textId="605C3C97" w:rsidR="00C22631" w:rsidRPr="00C22631" w:rsidRDefault="00C22631" w:rsidP="00C22631">
      <w:pPr>
        <w:pStyle w:val="MEBioHeading2"/>
        <w:spacing w:line="240" w:lineRule="auto"/>
        <w:rPr>
          <w:rFonts w:ascii="Arial" w:hAnsi="Arial" w:cs="Arial"/>
          <w:color w:val="auto"/>
          <w:sz w:val="18"/>
          <w:szCs w:val="18"/>
        </w:rPr>
      </w:pPr>
      <w:r w:rsidRPr="00C22631">
        <w:rPr>
          <w:rFonts w:ascii="Arial" w:hAnsi="Arial" w:cs="Arial"/>
          <w:color w:val="auto"/>
          <w:sz w:val="18"/>
          <w:szCs w:val="18"/>
        </w:rPr>
        <w:t>Stephen is the Managing Director of SWL Consulting</w:t>
      </w:r>
      <w:r>
        <w:rPr>
          <w:rFonts w:ascii="Arial" w:hAnsi="Arial" w:cs="Arial"/>
          <w:color w:val="auto"/>
          <w:sz w:val="18"/>
          <w:szCs w:val="18"/>
        </w:rPr>
        <w:t>,</w:t>
      </w:r>
      <w:r w:rsidRPr="00C22631"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>a boutique legal and strategic advisory consulting firm specialising in procurement, risk management and major project delivery</w:t>
      </w:r>
      <w:r>
        <w:rPr>
          <w:rFonts w:ascii="Arial" w:hAnsi="Arial" w:cs="Arial"/>
          <w:color w:val="auto"/>
          <w:sz w:val="18"/>
          <w:szCs w:val="18"/>
        </w:rPr>
        <w:t xml:space="preserve">. He is </w:t>
      </w:r>
      <w:r w:rsidR="004931FC">
        <w:rPr>
          <w:rFonts w:ascii="Arial" w:hAnsi="Arial" w:cs="Arial"/>
          <w:color w:val="auto"/>
          <w:sz w:val="18"/>
          <w:szCs w:val="18"/>
        </w:rPr>
        <w:t>currently a</w:t>
      </w:r>
      <w:r w:rsidRPr="00C22631">
        <w:rPr>
          <w:rFonts w:ascii="Arial" w:hAnsi="Arial" w:cs="Arial"/>
          <w:color w:val="auto"/>
          <w:sz w:val="18"/>
          <w:szCs w:val="18"/>
        </w:rPr>
        <w:t xml:space="preserve"> Consultant to Minter Ellison</w:t>
      </w:r>
      <w:r>
        <w:rPr>
          <w:rFonts w:ascii="Arial" w:hAnsi="Arial" w:cs="Arial"/>
          <w:color w:val="auto"/>
          <w:sz w:val="18"/>
          <w:szCs w:val="18"/>
        </w:rPr>
        <w:t xml:space="preserve"> and a </w:t>
      </w:r>
      <w:r w:rsidR="004931FC">
        <w:rPr>
          <w:rFonts w:ascii="Arial" w:hAnsi="Arial" w:cs="Arial"/>
          <w:color w:val="auto"/>
          <w:sz w:val="18"/>
          <w:szCs w:val="18"/>
        </w:rPr>
        <w:t xml:space="preserve">guest lecturer </w:t>
      </w:r>
      <w:r w:rsidRPr="00C22631">
        <w:rPr>
          <w:rFonts w:ascii="Arial" w:hAnsi="Arial" w:cs="Arial"/>
          <w:color w:val="auto"/>
          <w:sz w:val="18"/>
          <w:szCs w:val="18"/>
        </w:rPr>
        <w:t>at the University of South Australia in procurement and construction law.</w:t>
      </w:r>
    </w:p>
    <w:p w14:paraId="541F9C0E" w14:textId="647EA2D6" w:rsidR="00C22631" w:rsidRPr="00C22631" w:rsidRDefault="00C22631" w:rsidP="00C22631">
      <w:pPr>
        <w:pStyle w:val="MEBioHeading2"/>
        <w:spacing w:line="240" w:lineRule="auto"/>
        <w:rPr>
          <w:rFonts w:ascii="Arial" w:hAnsi="Arial" w:cs="Arial"/>
          <w:color w:val="auto"/>
          <w:sz w:val="18"/>
          <w:szCs w:val="18"/>
        </w:rPr>
      </w:pPr>
      <w:r w:rsidRPr="00C22631">
        <w:rPr>
          <w:rFonts w:ascii="Arial" w:hAnsi="Arial" w:cs="Arial"/>
          <w:color w:val="auto"/>
          <w:sz w:val="18"/>
          <w:szCs w:val="18"/>
        </w:rPr>
        <w:t>Stephen's exper</w:t>
      </w:r>
      <w:r w:rsidR="004931FC">
        <w:rPr>
          <w:rFonts w:ascii="Arial" w:hAnsi="Arial" w:cs="Arial"/>
          <w:color w:val="auto"/>
          <w:sz w:val="18"/>
          <w:szCs w:val="18"/>
        </w:rPr>
        <w:t xml:space="preserve">tise </w:t>
      </w:r>
      <w:r w:rsidRPr="00C22631">
        <w:rPr>
          <w:rFonts w:ascii="Arial" w:hAnsi="Arial" w:cs="Arial"/>
          <w:color w:val="auto"/>
          <w:sz w:val="18"/>
          <w:szCs w:val="18"/>
        </w:rPr>
        <w:t xml:space="preserve">is predominately in the delivery of major projects and covers all phases of </w:t>
      </w:r>
      <w:r w:rsidR="004931FC">
        <w:rPr>
          <w:rFonts w:ascii="Arial" w:hAnsi="Arial" w:cs="Arial"/>
          <w:color w:val="auto"/>
          <w:sz w:val="18"/>
          <w:szCs w:val="18"/>
        </w:rPr>
        <w:t xml:space="preserve">major </w:t>
      </w:r>
      <w:r w:rsidRPr="00C22631">
        <w:rPr>
          <w:rFonts w:ascii="Arial" w:hAnsi="Arial" w:cs="Arial"/>
          <w:color w:val="auto"/>
          <w:sz w:val="18"/>
          <w:szCs w:val="18"/>
        </w:rPr>
        <w:t xml:space="preserve">project development and delivery from project risk analysis, </w:t>
      </w:r>
      <w:r w:rsidR="004931FC">
        <w:rPr>
          <w:rFonts w:ascii="Arial" w:hAnsi="Arial" w:cs="Arial"/>
          <w:color w:val="auto"/>
          <w:sz w:val="18"/>
          <w:szCs w:val="18"/>
        </w:rPr>
        <w:t xml:space="preserve">choosing the most appropriate </w:t>
      </w:r>
      <w:r w:rsidRPr="00C22631">
        <w:rPr>
          <w:rFonts w:ascii="Arial" w:hAnsi="Arial" w:cs="Arial"/>
          <w:color w:val="auto"/>
          <w:sz w:val="18"/>
          <w:szCs w:val="18"/>
        </w:rPr>
        <w:t>procurement strategies</w:t>
      </w:r>
      <w:r w:rsidR="004931FC">
        <w:rPr>
          <w:rFonts w:ascii="Arial" w:hAnsi="Arial" w:cs="Arial"/>
          <w:color w:val="auto"/>
          <w:sz w:val="18"/>
          <w:szCs w:val="18"/>
        </w:rPr>
        <w:t xml:space="preserve">, tender preparation and evaluation, as well as successfully negotiating and </w:t>
      </w:r>
      <w:r w:rsidRPr="00C22631">
        <w:rPr>
          <w:rFonts w:ascii="Arial" w:hAnsi="Arial" w:cs="Arial"/>
          <w:color w:val="auto"/>
          <w:sz w:val="18"/>
          <w:szCs w:val="18"/>
        </w:rPr>
        <w:t xml:space="preserve">drafting </w:t>
      </w:r>
      <w:r w:rsidR="004931FC">
        <w:rPr>
          <w:rFonts w:ascii="Arial" w:hAnsi="Arial" w:cs="Arial"/>
          <w:color w:val="auto"/>
          <w:sz w:val="18"/>
          <w:szCs w:val="18"/>
        </w:rPr>
        <w:t xml:space="preserve">all </w:t>
      </w:r>
      <w:r w:rsidRPr="00C22631">
        <w:rPr>
          <w:rFonts w:ascii="Arial" w:hAnsi="Arial" w:cs="Arial"/>
          <w:color w:val="auto"/>
          <w:sz w:val="18"/>
          <w:szCs w:val="18"/>
        </w:rPr>
        <w:t>contract</w:t>
      </w:r>
      <w:r>
        <w:rPr>
          <w:rFonts w:ascii="Arial" w:hAnsi="Arial" w:cs="Arial"/>
          <w:color w:val="auto"/>
          <w:sz w:val="18"/>
          <w:szCs w:val="18"/>
        </w:rPr>
        <w:t>s</w:t>
      </w:r>
      <w:r w:rsidR="004931FC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65B7F08E" w14:textId="199D3097" w:rsidR="00C22631" w:rsidRDefault="00C22631" w:rsidP="00C75461">
      <w:pPr>
        <w:pStyle w:val="MEBioHeading2"/>
        <w:spacing w:line="240" w:lineRule="auto"/>
        <w:rPr>
          <w:rFonts w:ascii="Arial" w:hAnsi="Arial" w:cs="Arial"/>
          <w:color w:val="auto"/>
          <w:sz w:val="18"/>
          <w:szCs w:val="18"/>
        </w:rPr>
      </w:pPr>
      <w:r w:rsidRPr="00F52C3D">
        <w:rPr>
          <w:rFonts w:ascii="Arial" w:hAnsi="Arial" w:cs="Arial"/>
          <w:color w:val="auto"/>
          <w:sz w:val="18"/>
          <w:szCs w:val="18"/>
        </w:rPr>
        <w:t xml:space="preserve">Stephen </w:t>
      </w:r>
      <w:r>
        <w:rPr>
          <w:rFonts w:ascii="Arial" w:hAnsi="Arial" w:cs="Arial"/>
          <w:color w:val="auto"/>
          <w:sz w:val="18"/>
          <w:szCs w:val="18"/>
        </w:rPr>
        <w:t xml:space="preserve">has previously </w:t>
      </w:r>
      <w:r w:rsidRPr="00F52C3D">
        <w:rPr>
          <w:rFonts w:ascii="Arial" w:hAnsi="Arial" w:cs="Arial"/>
          <w:color w:val="auto"/>
          <w:sz w:val="18"/>
          <w:szCs w:val="18"/>
        </w:rPr>
        <w:t xml:space="preserve">worked as a </w:t>
      </w:r>
      <w:r>
        <w:rPr>
          <w:rFonts w:ascii="Arial" w:hAnsi="Arial" w:cs="Arial"/>
          <w:color w:val="auto"/>
          <w:sz w:val="18"/>
          <w:szCs w:val="18"/>
        </w:rPr>
        <w:t xml:space="preserve">projects </w:t>
      </w:r>
      <w:r w:rsidRPr="00F52C3D">
        <w:rPr>
          <w:rFonts w:ascii="Arial" w:hAnsi="Arial" w:cs="Arial"/>
          <w:color w:val="auto"/>
          <w:sz w:val="18"/>
          <w:szCs w:val="18"/>
        </w:rPr>
        <w:t xml:space="preserve">lawyer </w:t>
      </w:r>
      <w:r>
        <w:rPr>
          <w:rFonts w:ascii="Arial" w:hAnsi="Arial" w:cs="Arial"/>
          <w:color w:val="auto"/>
          <w:sz w:val="18"/>
          <w:szCs w:val="18"/>
        </w:rPr>
        <w:t xml:space="preserve">with Herbert Smith Freehills and Corrs Chambers Westgarth (both while living in Melbourne), as well as in house as </w:t>
      </w:r>
      <w:r w:rsidRPr="00F52C3D">
        <w:rPr>
          <w:rFonts w:ascii="Arial" w:hAnsi="Arial" w:cs="Arial"/>
          <w:color w:val="auto"/>
          <w:sz w:val="18"/>
          <w:szCs w:val="18"/>
        </w:rPr>
        <w:t xml:space="preserve">Acting General Counsel of Melbourne Airport </w:t>
      </w:r>
      <w:r>
        <w:rPr>
          <w:rFonts w:ascii="Arial" w:hAnsi="Arial" w:cs="Arial"/>
          <w:color w:val="auto"/>
          <w:sz w:val="18"/>
          <w:szCs w:val="18"/>
        </w:rPr>
        <w:t xml:space="preserve">and as </w:t>
      </w:r>
      <w:r w:rsidR="004931FC">
        <w:rPr>
          <w:rFonts w:ascii="Arial" w:hAnsi="Arial" w:cs="Arial"/>
          <w:color w:val="auto"/>
          <w:sz w:val="18"/>
          <w:szCs w:val="18"/>
        </w:rPr>
        <w:t xml:space="preserve">corporate </w:t>
      </w:r>
      <w:r w:rsidRPr="00F52C3D">
        <w:rPr>
          <w:rFonts w:ascii="Arial" w:hAnsi="Arial" w:cs="Arial"/>
          <w:color w:val="auto"/>
          <w:sz w:val="18"/>
          <w:szCs w:val="18"/>
        </w:rPr>
        <w:t>counsel with Pacific Hydro</w:t>
      </w:r>
      <w:r>
        <w:rPr>
          <w:rFonts w:ascii="Arial" w:hAnsi="Arial" w:cs="Arial"/>
          <w:color w:val="auto"/>
          <w:sz w:val="18"/>
          <w:szCs w:val="18"/>
        </w:rPr>
        <w:t>.</w:t>
      </w:r>
      <w:r w:rsidRPr="00F52C3D"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 xml:space="preserve">He </w:t>
      </w:r>
      <w:r w:rsidRPr="00F52C3D">
        <w:rPr>
          <w:rFonts w:ascii="Arial" w:hAnsi="Arial" w:cs="Arial"/>
          <w:color w:val="auto"/>
          <w:sz w:val="18"/>
          <w:szCs w:val="18"/>
        </w:rPr>
        <w:t>has also held various legal roles in the public sector, including as a corporate lawyer with the Victorian Department of Transport and as a legal advisor to the Attorney-General of Victoria.</w:t>
      </w:r>
    </w:p>
    <w:p w14:paraId="7BC83459" w14:textId="39EE185D" w:rsidR="00F52C3D" w:rsidRPr="00F52C3D" w:rsidRDefault="00C22631" w:rsidP="00A92509">
      <w:pPr>
        <w:pStyle w:val="MEBioHeading2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auto"/>
          <w:sz w:val="18"/>
          <w:szCs w:val="18"/>
        </w:rPr>
        <w:t xml:space="preserve">Industries </w:t>
      </w:r>
    </w:p>
    <w:p w14:paraId="4A8D45EC" w14:textId="1044AAA7" w:rsidR="00F52C3D" w:rsidRPr="00F52C3D" w:rsidRDefault="00F52C3D" w:rsidP="00F52C3D">
      <w:pPr>
        <w:rPr>
          <w:rFonts w:ascii="Arial" w:hAnsi="Arial" w:cs="Arial"/>
          <w:sz w:val="18"/>
          <w:szCs w:val="18"/>
        </w:rPr>
      </w:pPr>
      <w:r w:rsidRPr="00F52C3D">
        <w:rPr>
          <w:rFonts w:ascii="Arial" w:hAnsi="Arial" w:cs="Arial"/>
          <w:sz w:val="18"/>
          <w:szCs w:val="18"/>
        </w:rPr>
        <w:t>Stephen has</w:t>
      </w:r>
      <w:r w:rsidR="00A92509">
        <w:rPr>
          <w:rFonts w:ascii="Arial" w:hAnsi="Arial" w:cs="Arial"/>
          <w:sz w:val="18"/>
          <w:szCs w:val="18"/>
        </w:rPr>
        <w:t xml:space="preserve"> extensive experience in procurement and major project delivery</w:t>
      </w:r>
      <w:r w:rsidR="00C53DBF">
        <w:rPr>
          <w:rFonts w:ascii="Arial" w:hAnsi="Arial" w:cs="Arial"/>
          <w:sz w:val="18"/>
          <w:szCs w:val="18"/>
        </w:rPr>
        <w:t xml:space="preserve"> </w:t>
      </w:r>
      <w:r w:rsidR="00C22631">
        <w:rPr>
          <w:rFonts w:ascii="Arial" w:hAnsi="Arial" w:cs="Arial"/>
          <w:sz w:val="18"/>
          <w:szCs w:val="18"/>
        </w:rPr>
        <w:t xml:space="preserve">in a broad range of industries including </w:t>
      </w:r>
      <w:r w:rsidR="00C53DBF">
        <w:rPr>
          <w:rFonts w:ascii="Arial" w:hAnsi="Arial" w:cs="Arial"/>
          <w:sz w:val="18"/>
          <w:szCs w:val="18"/>
        </w:rPr>
        <w:t xml:space="preserve"> </w:t>
      </w:r>
      <w:r w:rsidR="00525188">
        <w:rPr>
          <w:rFonts w:ascii="Arial" w:hAnsi="Arial" w:cs="Arial"/>
          <w:sz w:val="18"/>
          <w:szCs w:val="18"/>
        </w:rPr>
        <w:t xml:space="preserve">the </w:t>
      </w:r>
      <w:r w:rsidR="004C0496">
        <w:rPr>
          <w:rFonts w:ascii="Arial" w:hAnsi="Arial" w:cs="Arial"/>
          <w:sz w:val="18"/>
          <w:szCs w:val="18"/>
        </w:rPr>
        <w:t xml:space="preserve">transport, </w:t>
      </w:r>
      <w:r w:rsidR="00C53DBF">
        <w:rPr>
          <w:rFonts w:ascii="Arial" w:hAnsi="Arial" w:cs="Arial"/>
          <w:sz w:val="18"/>
          <w:szCs w:val="18"/>
        </w:rPr>
        <w:t>mining, commercial</w:t>
      </w:r>
      <w:r w:rsidR="00C22631">
        <w:rPr>
          <w:rFonts w:ascii="Arial" w:hAnsi="Arial" w:cs="Arial"/>
          <w:sz w:val="18"/>
          <w:szCs w:val="18"/>
        </w:rPr>
        <w:t xml:space="preserve"> property </w:t>
      </w:r>
      <w:r w:rsidR="00C53DBF">
        <w:rPr>
          <w:rFonts w:ascii="Arial" w:hAnsi="Arial" w:cs="Arial"/>
          <w:sz w:val="18"/>
          <w:szCs w:val="18"/>
        </w:rPr>
        <w:t>development</w:t>
      </w:r>
      <w:r w:rsidR="004C0496">
        <w:rPr>
          <w:rFonts w:ascii="Arial" w:hAnsi="Arial" w:cs="Arial"/>
          <w:sz w:val="18"/>
          <w:szCs w:val="18"/>
        </w:rPr>
        <w:t>, education</w:t>
      </w:r>
      <w:r w:rsidR="00C53DBF">
        <w:rPr>
          <w:rFonts w:ascii="Arial" w:hAnsi="Arial" w:cs="Arial"/>
          <w:sz w:val="18"/>
          <w:szCs w:val="18"/>
        </w:rPr>
        <w:t xml:space="preserve"> and energy </w:t>
      </w:r>
      <w:r w:rsidR="00525188">
        <w:rPr>
          <w:rFonts w:ascii="Arial" w:hAnsi="Arial" w:cs="Arial"/>
          <w:sz w:val="18"/>
          <w:szCs w:val="18"/>
        </w:rPr>
        <w:t xml:space="preserve">sectors </w:t>
      </w:r>
      <w:r w:rsidR="00A92509">
        <w:rPr>
          <w:rFonts w:ascii="Arial" w:hAnsi="Arial" w:cs="Arial"/>
          <w:sz w:val="18"/>
          <w:szCs w:val="18"/>
        </w:rPr>
        <w:t>including</w:t>
      </w:r>
      <w:r w:rsidRPr="00F52C3D">
        <w:rPr>
          <w:rFonts w:ascii="Arial" w:hAnsi="Arial" w:cs="Arial"/>
          <w:sz w:val="18"/>
          <w:szCs w:val="18"/>
        </w:rPr>
        <w:t>:</w:t>
      </w:r>
    </w:p>
    <w:p w14:paraId="48B276BE" w14:textId="19050CCE" w:rsidR="00A92509" w:rsidRDefault="00C22631" w:rsidP="00A92509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</w:t>
      </w:r>
      <w:r w:rsidR="00A92509" w:rsidRPr="00A92509">
        <w:rPr>
          <w:rFonts w:ascii="Arial" w:hAnsi="Arial" w:cs="Arial"/>
          <w:b/>
          <w:sz w:val="18"/>
          <w:szCs w:val="18"/>
        </w:rPr>
        <w:t xml:space="preserve">io Tinto </w:t>
      </w:r>
      <w:r w:rsidR="00A92509">
        <w:rPr>
          <w:rFonts w:ascii="Arial" w:hAnsi="Arial" w:cs="Arial"/>
          <w:sz w:val="18"/>
          <w:szCs w:val="18"/>
        </w:rPr>
        <w:t xml:space="preserve">on the development of a suite of contracts for the </w:t>
      </w:r>
      <w:r w:rsidR="00BE765D">
        <w:rPr>
          <w:rFonts w:ascii="Arial" w:hAnsi="Arial" w:cs="Arial"/>
          <w:sz w:val="18"/>
          <w:szCs w:val="18"/>
        </w:rPr>
        <w:t xml:space="preserve">delivery of the </w:t>
      </w:r>
      <w:proofErr w:type="spellStart"/>
      <w:r w:rsidR="00A92509">
        <w:rPr>
          <w:rFonts w:ascii="Arial" w:hAnsi="Arial" w:cs="Arial"/>
          <w:sz w:val="18"/>
          <w:szCs w:val="18"/>
        </w:rPr>
        <w:t>Amrun</w:t>
      </w:r>
      <w:proofErr w:type="spellEnd"/>
      <w:r w:rsidR="00A92509">
        <w:rPr>
          <w:rFonts w:ascii="Arial" w:hAnsi="Arial" w:cs="Arial"/>
          <w:sz w:val="18"/>
          <w:szCs w:val="18"/>
        </w:rPr>
        <w:t xml:space="preserve"> Project</w:t>
      </w:r>
      <w:r w:rsidR="00A97A17">
        <w:rPr>
          <w:rFonts w:ascii="Arial" w:hAnsi="Arial" w:cs="Arial"/>
          <w:sz w:val="18"/>
          <w:szCs w:val="18"/>
        </w:rPr>
        <w:t xml:space="preserve"> in northern Queensland</w:t>
      </w:r>
    </w:p>
    <w:p w14:paraId="4ABB0B67" w14:textId="0BD408B4" w:rsidR="00C53DBF" w:rsidRDefault="00C53DBF" w:rsidP="00C53DBF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Robina Group</w:t>
      </w:r>
      <w:r>
        <w:rPr>
          <w:rFonts w:ascii="Arial" w:hAnsi="Arial" w:cs="Arial"/>
          <w:sz w:val="18"/>
          <w:szCs w:val="18"/>
        </w:rPr>
        <w:t xml:space="preserve"> on a number of major mixed-use property developments in Queensland</w:t>
      </w:r>
    </w:p>
    <w:p w14:paraId="47D83510" w14:textId="37DEA628" w:rsidR="00C53DBF" w:rsidRDefault="00C53DBF" w:rsidP="00C53DBF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Commercial &amp; General</w:t>
      </w:r>
      <w:r>
        <w:rPr>
          <w:rFonts w:ascii="Arial" w:hAnsi="Arial" w:cs="Arial"/>
          <w:sz w:val="18"/>
          <w:szCs w:val="18"/>
        </w:rPr>
        <w:t xml:space="preserve"> on the delivery of a number of major property developments in South Australia including the new Calvary Hospital</w:t>
      </w:r>
    </w:p>
    <w:p w14:paraId="04BCA994" w14:textId="60779F18" w:rsidR="00C53DBF" w:rsidRDefault="00C53DBF" w:rsidP="00C53DBF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Armada Funds Management</w:t>
      </w:r>
      <w:r>
        <w:rPr>
          <w:rFonts w:ascii="Arial" w:hAnsi="Arial" w:cs="Arial"/>
          <w:sz w:val="18"/>
          <w:szCs w:val="18"/>
        </w:rPr>
        <w:t xml:space="preserve"> on the </w:t>
      </w:r>
      <w:r w:rsidR="00525188">
        <w:rPr>
          <w:rFonts w:ascii="Arial" w:hAnsi="Arial" w:cs="Arial"/>
          <w:sz w:val="18"/>
          <w:szCs w:val="18"/>
        </w:rPr>
        <w:t xml:space="preserve">construction </w:t>
      </w:r>
      <w:r>
        <w:rPr>
          <w:rFonts w:ascii="Arial" w:hAnsi="Arial" w:cs="Arial"/>
          <w:sz w:val="18"/>
          <w:szCs w:val="18"/>
        </w:rPr>
        <w:t xml:space="preserve">of key commercial property assets including shopping </w:t>
      </w:r>
      <w:proofErr w:type="spellStart"/>
      <w:r>
        <w:rPr>
          <w:rFonts w:ascii="Arial" w:hAnsi="Arial" w:cs="Arial"/>
          <w:sz w:val="18"/>
          <w:szCs w:val="18"/>
        </w:rPr>
        <w:t>centre</w:t>
      </w:r>
      <w:proofErr w:type="spellEnd"/>
      <w:r>
        <w:rPr>
          <w:rFonts w:ascii="Arial" w:hAnsi="Arial" w:cs="Arial"/>
          <w:sz w:val="18"/>
          <w:szCs w:val="18"/>
        </w:rPr>
        <w:t xml:space="preserve"> redevelopments in South Australia and Victoria</w:t>
      </w:r>
    </w:p>
    <w:p w14:paraId="5DA7F91F" w14:textId="1159F89F" w:rsidR="00C53DBF" w:rsidRDefault="00C53DBF" w:rsidP="00C53DBF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Linfox</w:t>
      </w:r>
      <w:r>
        <w:rPr>
          <w:rFonts w:ascii="Arial" w:hAnsi="Arial" w:cs="Arial"/>
          <w:sz w:val="18"/>
          <w:szCs w:val="18"/>
        </w:rPr>
        <w:t xml:space="preserve"> on the construction of a new intermodal transport facility in Darwin</w:t>
      </w:r>
    </w:p>
    <w:p w14:paraId="5245A0A8" w14:textId="4F4B2A1F" w:rsidR="00C53DBF" w:rsidRDefault="00C53DBF" w:rsidP="00C53DBF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proofErr w:type="spellStart"/>
      <w:r w:rsidRPr="00C53DBF">
        <w:rPr>
          <w:rFonts w:ascii="Arial" w:hAnsi="Arial" w:cs="Arial"/>
          <w:b/>
          <w:sz w:val="18"/>
          <w:szCs w:val="18"/>
        </w:rPr>
        <w:t>UniSA</w:t>
      </w:r>
      <w:proofErr w:type="spellEnd"/>
      <w:r>
        <w:rPr>
          <w:rFonts w:ascii="Arial" w:hAnsi="Arial" w:cs="Arial"/>
          <w:sz w:val="18"/>
          <w:szCs w:val="18"/>
        </w:rPr>
        <w:t xml:space="preserve"> on a number of landmark projects in South Australia including the Great Hall Project and Health Innovation Building</w:t>
      </w:r>
      <w:r w:rsidR="00E252F4">
        <w:rPr>
          <w:rFonts w:ascii="Arial" w:hAnsi="Arial" w:cs="Arial"/>
          <w:sz w:val="18"/>
          <w:szCs w:val="18"/>
        </w:rPr>
        <w:t xml:space="preserve"> </w:t>
      </w:r>
    </w:p>
    <w:p w14:paraId="3E8856F7" w14:textId="4ED63E61" w:rsidR="00C53DBF" w:rsidRPr="00F52C3D" w:rsidRDefault="00C22631" w:rsidP="00C53DBF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</w:t>
      </w:r>
      <w:r w:rsidR="00C53DBF" w:rsidRPr="00C53DBF">
        <w:rPr>
          <w:rFonts w:ascii="Arial" w:hAnsi="Arial" w:cs="Arial"/>
          <w:b/>
          <w:sz w:val="18"/>
          <w:szCs w:val="18"/>
        </w:rPr>
        <w:t>ron Road</w:t>
      </w:r>
      <w:r w:rsidR="001145A1">
        <w:rPr>
          <w:rFonts w:ascii="Arial" w:hAnsi="Arial" w:cs="Arial"/>
          <w:sz w:val="18"/>
          <w:szCs w:val="18"/>
        </w:rPr>
        <w:t xml:space="preserve"> by preparing </w:t>
      </w:r>
      <w:r w:rsidR="00C53DBF" w:rsidRPr="00F52C3D">
        <w:rPr>
          <w:rFonts w:ascii="Arial" w:hAnsi="Arial" w:cs="Arial"/>
          <w:sz w:val="18"/>
          <w:szCs w:val="18"/>
        </w:rPr>
        <w:t>a suite of project documents for the proposed construction and operation of the largest iron ore mine in South Australia</w:t>
      </w:r>
    </w:p>
    <w:p w14:paraId="28C057DC" w14:textId="562E3AC5" w:rsidR="00F52C3D" w:rsidRPr="00F52C3D" w:rsidRDefault="00F52C3D" w:rsidP="00A92509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Flinders Ports</w:t>
      </w:r>
      <w:r w:rsidRPr="00F52C3D">
        <w:rPr>
          <w:rFonts w:ascii="Arial" w:hAnsi="Arial" w:cs="Arial"/>
          <w:sz w:val="18"/>
          <w:szCs w:val="18"/>
        </w:rPr>
        <w:t xml:space="preserve"> on </w:t>
      </w:r>
      <w:r w:rsidR="00E232BE">
        <w:rPr>
          <w:rFonts w:ascii="Arial" w:hAnsi="Arial" w:cs="Arial"/>
          <w:sz w:val="18"/>
          <w:szCs w:val="18"/>
        </w:rPr>
        <w:t xml:space="preserve">various </w:t>
      </w:r>
      <w:r w:rsidRPr="00F52C3D">
        <w:rPr>
          <w:rFonts w:ascii="Arial" w:hAnsi="Arial" w:cs="Arial"/>
          <w:sz w:val="18"/>
          <w:szCs w:val="18"/>
        </w:rPr>
        <w:t>key development projects and the procurement of large assets to be used at their container terminal</w:t>
      </w:r>
      <w:r w:rsidR="00E232BE">
        <w:rPr>
          <w:rFonts w:ascii="Arial" w:hAnsi="Arial" w:cs="Arial"/>
          <w:sz w:val="18"/>
          <w:szCs w:val="18"/>
        </w:rPr>
        <w:t xml:space="preserve"> in South Australia </w:t>
      </w:r>
    </w:p>
    <w:p w14:paraId="75F766B0" w14:textId="07A59EDA" w:rsidR="00F52C3D" w:rsidRPr="00F52C3D" w:rsidRDefault="00F52C3D" w:rsidP="00A92509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Gold Coast Airport</w:t>
      </w:r>
      <w:r w:rsidRPr="00F52C3D">
        <w:rPr>
          <w:rFonts w:ascii="Arial" w:hAnsi="Arial" w:cs="Arial"/>
          <w:sz w:val="18"/>
          <w:szCs w:val="18"/>
        </w:rPr>
        <w:t xml:space="preserve"> and </w:t>
      </w:r>
      <w:r w:rsidRPr="00C53DBF">
        <w:rPr>
          <w:rFonts w:ascii="Arial" w:hAnsi="Arial" w:cs="Arial"/>
          <w:b/>
          <w:sz w:val="18"/>
          <w:szCs w:val="18"/>
        </w:rPr>
        <w:t>Darwin International Airport</w:t>
      </w:r>
      <w:r w:rsidRPr="00F52C3D">
        <w:rPr>
          <w:rFonts w:ascii="Arial" w:hAnsi="Arial" w:cs="Arial"/>
          <w:sz w:val="18"/>
          <w:szCs w:val="18"/>
        </w:rPr>
        <w:t xml:space="preserve"> on major </w:t>
      </w:r>
      <w:r w:rsidR="001145A1">
        <w:rPr>
          <w:rFonts w:ascii="Arial" w:hAnsi="Arial" w:cs="Arial"/>
          <w:sz w:val="18"/>
          <w:szCs w:val="18"/>
        </w:rPr>
        <w:t>(re)</w:t>
      </w:r>
      <w:r w:rsidRPr="00F52C3D">
        <w:rPr>
          <w:rFonts w:ascii="Arial" w:hAnsi="Arial" w:cs="Arial"/>
          <w:sz w:val="18"/>
          <w:szCs w:val="18"/>
        </w:rPr>
        <w:t>development</w:t>
      </w:r>
      <w:r w:rsidR="00FF5F94">
        <w:rPr>
          <w:rFonts w:ascii="Arial" w:hAnsi="Arial" w:cs="Arial"/>
          <w:sz w:val="18"/>
          <w:szCs w:val="18"/>
        </w:rPr>
        <w:t xml:space="preserve"> projects </w:t>
      </w:r>
    </w:p>
    <w:p w14:paraId="2F2B70FD" w14:textId="4D83C148" w:rsidR="00F52C3D" w:rsidRPr="00F52C3D" w:rsidRDefault="00F52C3D" w:rsidP="00A92509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lastRenderedPageBreak/>
        <w:t xml:space="preserve">NBN Co </w:t>
      </w:r>
      <w:r w:rsidRPr="00F52C3D">
        <w:rPr>
          <w:rFonts w:ascii="Arial" w:hAnsi="Arial" w:cs="Arial"/>
          <w:sz w:val="18"/>
          <w:szCs w:val="18"/>
        </w:rPr>
        <w:t xml:space="preserve">on the procurement of contractors for the National Broadband Network project, including the national roll-out of the passive </w:t>
      </w:r>
      <w:proofErr w:type="spellStart"/>
      <w:r w:rsidRPr="00F52C3D">
        <w:rPr>
          <w:rFonts w:ascii="Arial" w:hAnsi="Arial" w:cs="Arial"/>
          <w:sz w:val="18"/>
          <w:szCs w:val="18"/>
        </w:rPr>
        <w:t>fibre</w:t>
      </w:r>
      <w:proofErr w:type="spellEnd"/>
      <w:r w:rsidRPr="00F52C3D">
        <w:rPr>
          <w:rFonts w:ascii="Arial" w:hAnsi="Arial" w:cs="Arial"/>
          <w:sz w:val="18"/>
          <w:szCs w:val="18"/>
        </w:rPr>
        <w:t xml:space="preserve"> network and associated construction contracts</w:t>
      </w:r>
    </w:p>
    <w:p w14:paraId="309A67E9" w14:textId="33C551D8" w:rsidR="00F52C3D" w:rsidRPr="00F52C3D" w:rsidRDefault="00F52C3D" w:rsidP="00A92509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SA Power</w:t>
      </w:r>
      <w:r w:rsidR="00567713">
        <w:rPr>
          <w:rFonts w:ascii="Arial" w:hAnsi="Arial" w:cs="Arial"/>
          <w:b/>
          <w:sz w:val="18"/>
          <w:szCs w:val="18"/>
        </w:rPr>
        <w:t xml:space="preserve"> </w:t>
      </w:r>
      <w:r w:rsidRPr="00C53DBF">
        <w:rPr>
          <w:rFonts w:ascii="Arial" w:hAnsi="Arial" w:cs="Arial"/>
          <w:b/>
          <w:sz w:val="18"/>
          <w:szCs w:val="18"/>
        </w:rPr>
        <w:t>Networks</w:t>
      </w:r>
      <w:r w:rsidRPr="00F52C3D">
        <w:rPr>
          <w:rFonts w:ascii="Arial" w:hAnsi="Arial" w:cs="Arial"/>
          <w:sz w:val="18"/>
          <w:szCs w:val="18"/>
        </w:rPr>
        <w:t xml:space="preserve"> on the roll out of the NBN Project in South Australia</w:t>
      </w:r>
    </w:p>
    <w:p w14:paraId="2E9132DB" w14:textId="7EF105A7" w:rsidR="00F52C3D" w:rsidRPr="00F52C3D" w:rsidRDefault="00F52C3D" w:rsidP="00A92509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BHP Billiton</w:t>
      </w:r>
      <w:r w:rsidRPr="00F52C3D">
        <w:rPr>
          <w:rFonts w:ascii="Arial" w:hAnsi="Arial" w:cs="Arial"/>
          <w:sz w:val="18"/>
          <w:szCs w:val="18"/>
        </w:rPr>
        <w:t xml:space="preserve"> on a broad range of goods and/or services and equipment supply contracts</w:t>
      </w:r>
    </w:p>
    <w:p w14:paraId="1358D3E7" w14:textId="58BA246A" w:rsidR="00F52C3D" w:rsidRPr="00F52C3D" w:rsidRDefault="00F52C3D" w:rsidP="00A92509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ANZ</w:t>
      </w:r>
      <w:r w:rsidRPr="00F52C3D">
        <w:rPr>
          <w:rFonts w:ascii="Arial" w:hAnsi="Arial" w:cs="Arial"/>
          <w:sz w:val="18"/>
          <w:szCs w:val="18"/>
        </w:rPr>
        <w:t xml:space="preserve"> as financier of the Upper West Side retail and commercial property development project in Lonsdale Street, Melbourne</w:t>
      </w:r>
    </w:p>
    <w:p w14:paraId="06BCD28A" w14:textId="7323B810" w:rsidR="00F52C3D" w:rsidRPr="00F52C3D" w:rsidRDefault="00F52C3D" w:rsidP="00A92509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Victorian Department of Transport</w:t>
      </w:r>
      <w:r w:rsidRPr="00F52C3D">
        <w:rPr>
          <w:rFonts w:ascii="Arial" w:hAnsi="Arial" w:cs="Arial"/>
          <w:sz w:val="18"/>
          <w:szCs w:val="18"/>
        </w:rPr>
        <w:t xml:space="preserve"> in relation to the </w:t>
      </w:r>
      <w:proofErr w:type="spellStart"/>
      <w:r w:rsidRPr="00F52C3D">
        <w:rPr>
          <w:rFonts w:ascii="Arial" w:hAnsi="Arial" w:cs="Arial"/>
          <w:sz w:val="18"/>
          <w:szCs w:val="18"/>
        </w:rPr>
        <w:t>Dandenong</w:t>
      </w:r>
      <w:proofErr w:type="spellEnd"/>
      <w:r w:rsidRPr="00F52C3D">
        <w:rPr>
          <w:rFonts w:ascii="Arial" w:hAnsi="Arial" w:cs="Arial"/>
          <w:sz w:val="18"/>
          <w:szCs w:val="18"/>
        </w:rPr>
        <w:t xml:space="preserve"> Rail Project (Stage 2 – </w:t>
      </w:r>
      <w:proofErr w:type="spellStart"/>
      <w:r w:rsidRPr="00F52C3D">
        <w:rPr>
          <w:rFonts w:ascii="Arial" w:hAnsi="Arial" w:cs="Arial"/>
          <w:sz w:val="18"/>
          <w:szCs w:val="18"/>
        </w:rPr>
        <w:t>Westall</w:t>
      </w:r>
      <w:proofErr w:type="spellEnd"/>
      <w:r w:rsidRPr="00F52C3D">
        <w:rPr>
          <w:rFonts w:ascii="Arial" w:hAnsi="Arial" w:cs="Arial"/>
          <w:sz w:val="18"/>
          <w:szCs w:val="18"/>
        </w:rPr>
        <w:t xml:space="preserve"> Rail Upgrade Project), Clifton Hill Rail Project and Laverton Rail Upgrade Project </w:t>
      </w:r>
    </w:p>
    <w:p w14:paraId="14E5BD98" w14:textId="36215FD8" w:rsidR="00F52C3D" w:rsidRPr="00F52C3D" w:rsidRDefault="00F52C3D" w:rsidP="00A92509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Victorian Department of Transport</w:t>
      </w:r>
      <w:r w:rsidRPr="00A92509">
        <w:rPr>
          <w:rFonts w:ascii="Arial" w:hAnsi="Arial" w:cs="Arial"/>
          <w:sz w:val="18"/>
          <w:szCs w:val="18"/>
        </w:rPr>
        <w:t xml:space="preserve"> </w:t>
      </w:r>
      <w:r w:rsidRPr="00F52C3D">
        <w:rPr>
          <w:rFonts w:ascii="Arial" w:hAnsi="Arial" w:cs="Arial"/>
          <w:sz w:val="18"/>
          <w:szCs w:val="18"/>
        </w:rPr>
        <w:t xml:space="preserve">on the development of the </w:t>
      </w:r>
      <w:r w:rsidRPr="00A92509">
        <w:rPr>
          <w:rFonts w:ascii="Arial" w:hAnsi="Arial" w:cs="Arial"/>
          <w:sz w:val="18"/>
          <w:szCs w:val="18"/>
        </w:rPr>
        <w:t xml:space="preserve">Major Transport Projects Facilitation Act 2009 </w:t>
      </w:r>
      <w:r w:rsidRPr="00F52C3D">
        <w:rPr>
          <w:rFonts w:ascii="Arial" w:hAnsi="Arial" w:cs="Arial"/>
          <w:sz w:val="18"/>
          <w:szCs w:val="18"/>
        </w:rPr>
        <w:t xml:space="preserve">(Vic), including legislation development and key stakeholder management </w:t>
      </w:r>
    </w:p>
    <w:p w14:paraId="2C0FCD76" w14:textId="2030FF41" w:rsidR="00C75461" w:rsidRPr="00F52C3D" w:rsidRDefault="00C75461" w:rsidP="00A92509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r w:rsidRPr="00F52C3D">
        <w:rPr>
          <w:rFonts w:ascii="Arial" w:hAnsi="Arial" w:cs="Arial"/>
          <w:sz w:val="18"/>
          <w:szCs w:val="18"/>
        </w:rPr>
        <w:t xml:space="preserve">connection, project, interface, network and use of system agreements in relation to the connection of generating systems to the National Electricity Market (for clients including </w:t>
      </w:r>
      <w:r w:rsidRPr="00C53DBF">
        <w:rPr>
          <w:rFonts w:ascii="Arial" w:hAnsi="Arial" w:cs="Arial"/>
          <w:b/>
          <w:sz w:val="18"/>
          <w:szCs w:val="18"/>
        </w:rPr>
        <w:t>AGL</w:t>
      </w:r>
      <w:r w:rsidRPr="00F52C3D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C53DBF">
        <w:rPr>
          <w:rFonts w:ascii="Arial" w:hAnsi="Arial" w:cs="Arial"/>
          <w:b/>
          <w:sz w:val="18"/>
          <w:szCs w:val="18"/>
        </w:rPr>
        <w:t>AusNet</w:t>
      </w:r>
      <w:proofErr w:type="spellEnd"/>
      <w:r w:rsidR="00C53DBF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C53DBF">
        <w:rPr>
          <w:rFonts w:ascii="Arial" w:hAnsi="Arial" w:cs="Arial"/>
          <w:b/>
          <w:sz w:val="18"/>
          <w:szCs w:val="18"/>
        </w:rPr>
        <w:t>ActewAGL</w:t>
      </w:r>
      <w:proofErr w:type="spellEnd"/>
      <w:r w:rsidRPr="00F52C3D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C53DBF">
        <w:rPr>
          <w:rFonts w:ascii="Arial" w:hAnsi="Arial" w:cs="Arial"/>
          <w:b/>
          <w:sz w:val="18"/>
          <w:szCs w:val="18"/>
        </w:rPr>
        <w:t>TransGrid</w:t>
      </w:r>
      <w:proofErr w:type="spellEnd"/>
      <w:r w:rsidRPr="00F52C3D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C53DBF">
        <w:rPr>
          <w:rFonts w:ascii="Arial" w:hAnsi="Arial" w:cs="Arial"/>
          <w:b/>
          <w:sz w:val="18"/>
          <w:szCs w:val="18"/>
        </w:rPr>
        <w:t>ElectraNet</w:t>
      </w:r>
      <w:proofErr w:type="spellEnd"/>
      <w:r w:rsidRPr="00F52C3D">
        <w:rPr>
          <w:rFonts w:ascii="Arial" w:hAnsi="Arial" w:cs="Arial"/>
          <w:sz w:val="18"/>
          <w:szCs w:val="18"/>
        </w:rPr>
        <w:t xml:space="preserve">) </w:t>
      </w:r>
    </w:p>
    <w:p w14:paraId="7549F052" w14:textId="6DBBDEB5" w:rsidR="00C75461" w:rsidRPr="00F52C3D" w:rsidRDefault="00C75461" w:rsidP="00A92509">
      <w:pPr>
        <w:pStyle w:val="Style1"/>
        <w:numPr>
          <w:ilvl w:val="0"/>
          <w:numId w:val="4"/>
        </w:numPr>
        <w:ind w:left="567" w:hanging="567"/>
        <w:rPr>
          <w:rFonts w:ascii="Arial" w:hAnsi="Arial" w:cs="Arial"/>
          <w:sz w:val="18"/>
          <w:szCs w:val="18"/>
        </w:rPr>
      </w:pPr>
      <w:proofErr w:type="spellStart"/>
      <w:r w:rsidRPr="00C53DBF">
        <w:rPr>
          <w:rFonts w:ascii="Arial" w:hAnsi="Arial" w:cs="Arial"/>
          <w:b/>
          <w:sz w:val="18"/>
          <w:szCs w:val="18"/>
        </w:rPr>
        <w:t>ActewAGL</w:t>
      </w:r>
      <w:proofErr w:type="spellEnd"/>
      <w:r w:rsidRPr="00C53DBF">
        <w:rPr>
          <w:rFonts w:ascii="Arial" w:hAnsi="Arial" w:cs="Arial"/>
          <w:b/>
          <w:sz w:val="18"/>
          <w:szCs w:val="18"/>
        </w:rPr>
        <w:t xml:space="preserve"> Distribution</w:t>
      </w:r>
      <w:r w:rsidRPr="00F52C3D">
        <w:rPr>
          <w:rFonts w:ascii="Arial" w:hAnsi="Arial" w:cs="Arial"/>
          <w:sz w:val="18"/>
          <w:szCs w:val="18"/>
        </w:rPr>
        <w:t xml:space="preserve"> on the connection of the </w:t>
      </w:r>
      <w:proofErr w:type="spellStart"/>
      <w:r w:rsidRPr="00F52C3D">
        <w:rPr>
          <w:rFonts w:ascii="Arial" w:hAnsi="Arial" w:cs="Arial"/>
          <w:sz w:val="18"/>
          <w:szCs w:val="18"/>
        </w:rPr>
        <w:t>Royalla</w:t>
      </w:r>
      <w:proofErr w:type="spellEnd"/>
      <w:r w:rsidRPr="00F52C3D">
        <w:rPr>
          <w:rFonts w:ascii="Arial" w:hAnsi="Arial" w:cs="Arial"/>
          <w:sz w:val="18"/>
          <w:szCs w:val="18"/>
        </w:rPr>
        <w:t xml:space="preserve"> Solar Farm and </w:t>
      </w:r>
      <w:proofErr w:type="spellStart"/>
      <w:r w:rsidRPr="00F52C3D">
        <w:rPr>
          <w:rFonts w:ascii="Arial" w:hAnsi="Arial" w:cs="Arial"/>
          <w:sz w:val="18"/>
          <w:szCs w:val="18"/>
        </w:rPr>
        <w:t>Mugga</w:t>
      </w:r>
      <w:proofErr w:type="spellEnd"/>
      <w:r w:rsidRPr="00F52C3D">
        <w:rPr>
          <w:rFonts w:ascii="Arial" w:hAnsi="Arial" w:cs="Arial"/>
          <w:sz w:val="18"/>
          <w:szCs w:val="18"/>
        </w:rPr>
        <w:t xml:space="preserve"> Lane Solar Park in the Australian Capital Territory</w:t>
      </w:r>
    </w:p>
    <w:p w14:paraId="152E7D36" w14:textId="51A1718A" w:rsidR="00C75461" w:rsidRPr="00C53DBF" w:rsidRDefault="00C75461" w:rsidP="00C75461">
      <w:pPr>
        <w:pStyle w:val="MESubheading2"/>
        <w:rPr>
          <w:rFonts w:ascii="Arial" w:hAnsi="Arial" w:cs="Arial"/>
          <w:sz w:val="18"/>
          <w:szCs w:val="18"/>
        </w:rPr>
      </w:pPr>
    </w:p>
    <w:p w14:paraId="398DA77B" w14:textId="0993805F" w:rsidR="00C53DBF" w:rsidRPr="00C53DBF" w:rsidRDefault="00C53DBF" w:rsidP="00C53DBF">
      <w:pPr>
        <w:rPr>
          <w:rFonts w:ascii="Arial" w:hAnsi="Arial" w:cs="Arial"/>
          <w:b/>
          <w:sz w:val="18"/>
          <w:szCs w:val="18"/>
        </w:rPr>
      </w:pPr>
      <w:r w:rsidRPr="00C53DBF">
        <w:rPr>
          <w:rFonts w:ascii="Arial" w:hAnsi="Arial" w:cs="Arial"/>
          <w:b/>
          <w:sz w:val="18"/>
          <w:szCs w:val="18"/>
        </w:rPr>
        <w:t>Rates</w:t>
      </w:r>
    </w:p>
    <w:p w14:paraId="7AB075D4" w14:textId="5E844266" w:rsidR="00C53DBF" w:rsidRDefault="00C53DBF" w:rsidP="00C53DB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$300 (excluding GST) per hour</w:t>
      </w:r>
    </w:p>
    <w:p w14:paraId="12F43972" w14:textId="261C7295" w:rsidR="00C53DBF" w:rsidRPr="00C53DBF" w:rsidRDefault="00C53DBF" w:rsidP="00C53DB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$1,500 (excluding GST) daily retainer</w:t>
      </w:r>
      <w:r w:rsidR="009A2552">
        <w:rPr>
          <w:rFonts w:ascii="Arial" w:hAnsi="Arial" w:cs="Arial"/>
          <w:sz w:val="18"/>
          <w:szCs w:val="18"/>
        </w:rPr>
        <w:t xml:space="preserve"> </w:t>
      </w:r>
    </w:p>
    <w:p w14:paraId="439C5F37" w14:textId="77777777" w:rsidR="00C53DBF" w:rsidRPr="00C53DBF" w:rsidRDefault="00C53DBF" w:rsidP="00C53DBF"/>
    <w:p w14:paraId="166DE685" w14:textId="77777777" w:rsidR="00F2275F" w:rsidRDefault="00F2275F">
      <w:bookmarkStart w:id="0" w:name="_GoBack"/>
      <w:bookmarkEnd w:id="0"/>
    </w:p>
    <w:sectPr w:rsidR="00F2275F" w:rsidSect="00FF5F94">
      <w:headerReference w:type="default" r:id="rId9"/>
      <w:foot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9B5FD" w14:textId="77777777" w:rsidR="001E481C" w:rsidRDefault="001E481C" w:rsidP="00C75461">
      <w:pPr>
        <w:spacing w:after="0" w:line="240" w:lineRule="auto"/>
      </w:pPr>
      <w:r>
        <w:separator/>
      </w:r>
    </w:p>
  </w:endnote>
  <w:endnote w:type="continuationSeparator" w:id="0">
    <w:p w14:paraId="4B3177C4" w14:textId="77777777" w:rsidR="001E481C" w:rsidRDefault="001E481C" w:rsidP="00C7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90122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B1A768" w14:textId="1CE32D88" w:rsidR="001E481C" w:rsidRDefault="001E481C">
        <w:pPr>
          <w:pStyle w:val="Footer"/>
          <w:jc w:val="center"/>
        </w:pPr>
        <w:r w:rsidRPr="00A92509">
          <w:rPr>
            <w:rFonts w:ascii="Arial" w:hAnsi="Arial" w:cs="Arial"/>
            <w:sz w:val="16"/>
            <w:szCs w:val="16"/>
          </w:rPr>
          <w:fldChar w:fldCharType="begin"/>
        </w:r>
        <w:r w:rsidRPr="00A92509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A92509">
          <w:rPr>
            <w:rFonts w:ascii="Arial" w:hAnsi="Arial" w:cs="Arial"/>
            <w:sz w:val="16"/>
            <w:szCs w:val="16"/>
          </w:rPr>
          <w:fldChar w:fldCharType="separate"/>
        </w:r>
        <w:r w:rsidR="00F9079E">
          <w:rPr>
            <w:rFonts w:ascii="Arial" w:hAnsi="Arial" w:cs="Arial"/>
            <w:noProof/>
            <w:sz w:val="16"/>
            <w:szCs w:val="16"/>
          </w:rPr>
          <w:t>1</w:t>
        </w:r>
        <w:r w:rsidRPr="00A92509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455D8EB0" w14:textId="4E19E311" w:rsidR="001E481C" w:rsidRPr="00F52C3D" w:rsidRDefault="001E481C" w:rsidP="00FF5F9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7BFDD" w14:textId="77777777" w:rsidR="001E481C" w:rsidRDefault="001E481C" w:rsidP="00C75461">
      <w:pPr>
        <w:spacing w:after="0" w:line="240" w:lineRule="auto"/>
      </w:pPr>
      <w:r>
        <w:separator/>
      </w:r>
    </w:p>
  </w:footnote>
  <w:footnote w:type="continuationSeparator" w:id="0">
    <w:p w14:paraId="3344B493" w14:textId="77777777" w:rsidR="001E481C" w:rsidRDefault="001E481C" w:rsidP="00C75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C7F6B" w14:textId="71F98E8C" w:rsidR="001E481C" w:rsidRDefault="001E481C" w:rsidP="00FF5F9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70146"/>
    <w:multiLevelType w:val="multilevel"/>
    <w:tmpl w:val="A70C15B4"/>
    <w:styleLink w:val="Bullets"/>
    <w:lvl w:ilvl="0">
      <w:start w:val="1"/>
      <w:numFmt w:val="bullet"/>
      <w:pStyle w:val="Bullet1"/>
      <w:lvlText w:val=""/>
      <w:lvlJc w:val="left"/>
      <w:pPr>
        <w:ind w:left="227" w:hanging="227"/>
      </w:pPr>
      <w:rPr>
        <w:rFonts w:ascii="Symbol" w:hAnsi="Symbol" w:hint="default"/>
        <w:color w:val="C00000"/>
      </w:rPr>
    </w:lvl>
    <w:lvl w:ilvl="1">
      <w:start w:val="1"/>
      <w:numFmt w:val="none"/>
      <w:pStyle w:val="Bullet2"/>
      <w:lvlText w:val="-"/>
      <w:lvlJc w:val="left"/>
      <w:pPr>
        <w:ind w:left="454" w:hanging="227"/>
      </w:pPr>
      <w:rPr>
        <w:rFonts w:hint="default"/>
        <w:color w:val="C00000"/>
      </w:rPr>
    </w:lvl>
    <w:lvl w:ilvl="2">
      <w:start w:val="1"/>
      <w:numFmt w:val="bullet"/>
      <w:pStyle w:val="Bullet3"/>
      <w:lvlText w:val=""/>
      <w:lvlJc w:val="left"/>
      <w:pPr>
        <w:tabs>
          <w:tab w:val="num" w:pos="454"/>
        </w:tabs>
        <w:ind w:left="680" w:hanging="226"/>
      </w:pPr>
      <w:rPr>
        <w:rFonts w:ascii="Symbol" w:hAnsi="Symbol" w:hint="default"/>
        <w:color w:val="C00000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BC52FE3"/>
    <w:multiLevelType w:val="hybridMultilevel"/>
    <w:tmpl w:val="A23EC3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86317F"/>
    <w:multiLevelType w:val="multilevel"/>
    <w:tmpl w:val="A70C15B4"/>
    <w:numStyleLink w:val="Bullets"/>
  </w:abstractNum>
  <w:num w:numId="1">
    <w:abstractNumId w:val="0"/>
  </w:num>
  <w:num w:numId="2">
    <w:abstractNumId w:val="2"/>
  </w:num>
  <w:num w:numId="3">
    <w:abstractNumId w:val="2"/>
    <w:lvlOverride w:ilvl="0">
      <w:startOverride w:val="1"/>
      <w:lvl w:ilvl="0">
        <w:start w:val="1"/>
        <w:numFmt w:val="bullet"/>
        <w:pStyle w:val="Bullet1"/>
        <w:lvlText w:val=""/>
        <w:lvlJc w:val="left"/>
        <w:pPr>
          <w:ind w:left="227" w:hanging="227"/>
        </w:pPr>
        <w:rPr>
          <w:rFonts w:ascii="Symbol" w:hAnsi="Symbol" w:hint="default"/>
          <w:color w:val="0070C0"/>
        </w:rPr>
      </w:lvl>
    </w:lvlOverride>
    <w:lvlOverride w:ilvl="1">
      <w:startOverride w:val="1"/>
      <w:lvl w:ilvl="1">
        <w:start w:val="1"/>
        <w:numFmt w:val="decimal"/>
        <w:pStyle w:val="Bullet2"/>
        <w:lvlText w:val=""/>
        <w:lvlJc w:val="left"/>
      </w:lvl>
    </w:lvlOverride>
    <w:lvlOverride w:ilvl="2">
      <w:lvl w:ilvl="2">
        <w:numFmt w:val="decimal"/>
        <w:pStyle w:val="Bullet3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461"/>
    <w:rsid w:val="001145A1"/>
    <w:rsid w:val="001E481C"/>
    <w:rsid w:val="00310309"/>
    <w:rsid w:val="003A3ADE"/>
    <w:rsid w:val="004931FC"/>
    <w:rsid w:val="004C0496"/>
    <w:rsid w:val="004D275D"/>
    <w:rsid w:val="00525188"/>
    <w:rsid w:val="00567713"/>
    <w:rsid w:val="00615E6F"/>
    <w:rsid w:val="00676FE4"/>
    <w:rsid w:val="0070054D"/>
    <w:rsid w:val="00750DD8"/>
    <w:rsid w:val="007F6325"/>
    <w:rsid w:val="009A2552"/>
    <w:rsid w:val="00A92509"/>
    <w:rsid w:val="00A97A17"/>
    <w:rsid w:val="00B40C66"/>
    <w:rsid w:val="00BB7AEF"/>
    <w:rsid w:val="00BE765D"/>
    <w:rsid w:val="00C112D3"/>
    <w:rsid w:val="00C22631"/>
    <w:rsid w:val="00C53DBF"/>
    <w:rsid w:val="00C75461"/>
    <w:rsid w:val="00D23ACE"/>
    <w:rsid w:val="00DC00F6"/>
    <w:rsid w:val="00DE344E"/>
    <w:rsid w:val="00E232BE"/>
    <w:rsid w:val="00E252F4"/>
    <w:rsid w:val="00E86F35"/>
    <w:rsid w:val="00F2275F"/>
    <w:rsid w:val="00F52C3D"/>
    <w:rsid w:val="00F9079E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2A56CCF"/>
  <w15:chartTrackingRefBased/>
  <w15:docId w15:val="{C8B77F9C-8C46-4912-A898-26E8DB48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5461"/>
    <w:pPr>
      <w:spacing w:after="120" w:line="260" w:lineRule="atLeast"/>
    </w:pPr>
    <w:rPr>
      <w:rFonts w:ascii="Calibri" w:eastAsia="Times New Roman" w:hAnsi="Calibri" w:cs="Angsana New"/>
      <w:sz w:val="20"/>
      <w:lang w:val="en-AU"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LawyerName">
    <w:name w:val="ME Lawyer Name"/>
    <w:basedOn w:val="Normal"/>
    <w:next w:val="Normal"/>
    <w:qFormat/>
    <w:rsid w:val="00C75461"/>
    <w:pPr>
      <w:spacing w:before="120" w:after="280" w:line="320" w:lineRule="atLeast"/>
    </w:pPr>
    <w:rPr>
      <w:b/>
      <w:color w:val="CC0000"/>
      <w:sz w:val="24"/>
    </w:rPr>
  </w:style>
  <w:style w:type="paragraph" w:customStyle="1" w:styleId="MELawyergroup">
    <w:name w:val="ME Lawyer group"/>
    <w:basedOn w:val="Normal"/>
    <w:next w:val="Normal"/>
    <w:qFormat/>
    <w:rsid w:val="00C75461"/>
    <w:pPr>
      <w:spacing w:after="0"/>
    </w:pPr>
    <w:rPr>
      <w:b/>
    </w:rPr>
  </w:style>
  <w:style w:type="paragraph" w:customStyle="1" w:styleId="MELawyerQualifications">
    <w:name w:val="ME Lawyer Qualifications"/>
    <w:basedOn w:val="Normal"/>
    <w:next w:val="Normal"/>
    <w:qFormat/>
    <w:rsid w:val="00C75461"/>
    <w:rPr>
      <w:caps/>
      <w:sz w:val="16"/>
    </w:rPr>
  </w:style>
  <w:style w:type="paragraph" w:customStyle="1" w:styleId="Bullet1">
    <w:name w:val="Bullet 1"/>
    <w:basedOn w:val="Normal"/>
    <w:qFormat/>
    <w:rsid w:val="00C75461"/>
    <w:pPr>
      <w:numPr>
        <w:numId w:val="2"/>
      </w:numPr>
      <w:spacing w:after="80"/>
    </w:pPr>
  </w:style>
  <w:style w:type="paragraph" w:customStyle="1" w:styleId="Bullet2">
    <w:name w:val="Bullet 2"/>
    <w:basedOn w:val="Normal"/>
    <w:qFormat/>
    <w:rsid w:val="00C75461"/>
    <w:pPr>
      <w:numPr>
        <w:ilvl w:val="1"/>
        <w:numId w:val="2"/>
      </w:numPr>
      <w:spacing w:after="80"/>
    </w:pPr>
  </w:style>
  <w:style w:type="paragraph" w:customStyle="1" w:styleId="Bullet3">
    <w:name w:val="Bullet 3"/>
    <w:basedOn w:val="Normal"/>
    <w:qFormat/>
    <w:rsid w:val="00C75461"/>
    <w:pPr>
      <w:numPr>
        <w:ilvl w:val="2"/>
        <w:numId w:val="2"/>
      </w:numPr>
      <w:spacing w:after="80"/>
    </w:pPr>
  </w:style>
  <w:style w:type="numbering" w:customStyle="1" w:styleId="Bullets">
    <w:name w:val="Bullets"/>
    <w:rsid w:val="00C75461"/>
    <w:pPr>
      <w:numPr>
        <w:numId w:val="1"/>
      </w:numPr>
    </w:pPr>
  </w:style>
  <w:style w:type="paragraph" w:customStyle="1" w:styleId="MEBioHeading2">
    <w:name w:val="ME Bio Heading 2"/>
    <w:basedOn w:val="Normal"/>
    <w:next w:val="Normal"/>
    <w:link w:val="MEBioHeading2Char"/>
    <w:rsid w:val="00C75461"/>
    <w:pPr>
      <w:keepNext/>
      <w:spacing w:before="180" w:line="320" w:lineRule="atLeast"/>
    </w:pPr>
    <w:rPr>
      <w:color w:val="757477"/>
      <w:sz w:val="24"/>
    </w:rPr>
  </w:style>
  <w:style w:type="paragraph" w:customStyle="1" w:styleId="TableBodyText85">
    <w:name w:val="Table Body Text 8.5"/>
    <w:basedOn w:val="Normal"/>
    <w:qFormat/>
    <w:rsid w:val="00C75461"/>
    <w:pPr>
      <w:spacing w:before="120" w:line="240" w:lineRule="atLeast"/>
    </w:pPr>
    <w:rPr>
      <w:rFonts w:ascii="Verdana" w:hAnsi="Verdana"/>
      <w:sz w:val="17"/>
    </w:rPr>
  </w:style>
  <w:style w:type="character" w:customStyle="1" w:styleId="MEBioHeading2Char">
    <w:name w:val="ME Bio Heading 2 Char"/>
    <w:link w:val="MEBioHeading2"/>
    <w:rsid w:val="00C75461"/>
    <w:rPr>
      <w:rFonts w:ascii="Calibri" w:eastAsia="Times New Roman" w:hAnsi="Calibri" w:cs="Angsana New"/>
      <w:color w:val="757477"/>
      <w:sz w:val="24"/>
      <w:lang w:val="en-AU" w:eastAsia="zh-CN" w:bidi="th-TH"/>
    </w:rPr>
  </w:style>
  <w:style w:type="character" w:customStyle="1" w:styleId="Style1Char">
    <w:name w:val="Style1 Char"/>
    <w:link w:val="Style1"/>
    <w:locked/>
    <w:rsid w:val="00C75461"/>
    <w:rPr>
      <w:rFonts w:cs="Angsana New"/>
      <w:lang w:bidi="th-TH"/>
    </w:rPr>
  </w:style>
  <w:style w:type="paragraph" w:customStyle="1" w:styleId="Style1">
    <w:name w:val="Style1"/>
    <w:basedOn w:val="Normal"/>
    <w:link w:val="Style1Char"/>
    <w:qFormat/>
    <w:rsid w:val="00C75461"/>
    <w:pPr>
      <w:snapToGrid w:val="0"/>
      <w:spacing w:line="240" w:lineRule="atLeast"/>
      <w:ind w:left="227" w:hanging="227"/>
    </w:pPr>
    <w:rPr>
      <w:rFonts w:asciiTheme="minorHAnsi" w:eastAsiaTheme="minorHAnsi" w:hAnsiTheme="minorHAnsi"/>
      <w:sz w:val="22"/>
      <w:lang w:val="en-US" w:eastAsia="en-US"/>
    </w:rPr>
  </w:style>
  <w:style w:type="paragraph" w:customStyle="1" w:styleId="MESubheading2">
    <w:name w:val="ME Subheading 2"/>
    <w:basedOn w:val="Normal"/>
    <w:next w:val="Normal"/>
    <w:rsid w:val="00C75461"/>
    <w:pPr>
      <w:keepNext/>
      <w:spacing w:before="60" w:after="60" w:line="240" w:lineRule="atLeast"/>
    </w:pPr>
    <w:rPr>
      <w:rFonts w:ascii="Verdana" w:hAnsi="Verdana"/>
      <w:color w:val="CC0000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C75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461"/>
    <w:rPr>
      <w:rFonts w:ascii="Calibri" w:eastAsia="Times New Roman" w:hAnsi="Calibri" w:cs="Angsana New"/>
      <w:sz w:val="20"/>
      <w:lang w:val="en-AU" w:eastAsia="zh-CN" w:bidi="th-TH"/>
    </w:rPr>
  </w:style>
  <w:style w:type="paragraph" w:styleId="Footer">
    <w:name w:val="footer"/>
    <w:basedOn w:val="Normal"/>
    <w:link w:val="FooterChar"/>
    <w:uiPriority w:val="99"/>
    <w:unhideWhenUsed/>
    <w:rsid w:val="00C75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461"/>
    <w:rPr>
      <w:rFonts w:ascii="Calibri" w:eastAsia="Times New Roman" w:hAnsi="Calibri" w:cs="Angsana New"/>
      <w:sz w:val="20"/>
      <w:lang w:val="en-AU" w:eastAsia="zh-CN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Hawley</dc:creator>
  <cp:keywords/>
  <dc:description/>
  <cp:lastModifiedBy>Legal</cp:lastModifiedBy>
  <cp:revision>8</cp:revision>
  <cp:lastPrinted>2017-07-13T23:23:00Z</cp:lastPrinted>
  <dcterms:created xsi:type="dcterms:W3CDTF">2017-08-23T08:31:00Z</dcterms:created>
  <dcterms:modified xsi:type="dcterms:W3CDTF">2017-08-23T08:55:00Z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_MATTER">
    <vt:lpwstr>313763</vt:lpwstr>
  </property>
  <property fmtid="{D5CDD505-2E9C-101B-9397-08002B2CF9AE}" pid="3" name="DM_CLIENT">
    <vt:lpwstr>MINT-ERS</vt:lpwstr>
  </property>
  <property fmtid="{D5CDD505-2E9C-101B-9397-08002B2CF9AE}" pid="4" name="DM_AUTHOR">
    <vt:lpwstr>AGM</vt:lpwstr>
  </property>
  <property fmtid="{D5CDD505-2E9C-101B-9397-08002B2CF9AE}" pid="5" name="DM_OPERATOR">
    <vt:lpwstr>KAH</vt:lpwstr>
  </property>
  <property fmtid="{D5CDD505-2E9C-101B-9397-08002B2CF9AE}" pid="6" name="DM_DESCRIPTION">
    <vt:lpwstr>SWL</vt:lpwstr>
  </property>
  <property fmtid="{D5CDD505-2E9C-101B-9397-08002B2CF9AE}" pid="7" name="DM_PRECEDENT">
    <vt:lpwstr/>
  </property>
  <property fmtid="{D5CDD505-2E9C-101B-9397-08002B2CF9AE}" pid="8" name="DM_INSERTFOOTER">
    <vt:i4>1</vt:i4>
  </property>
  <property fmtid="{D5CDD505-2E9C-101B-9397-08002B2CF9AE}" pid="9" name="DM_FOOTER1STPAGE">
    <vt:i4>1</vt:i4>
  </property>
  <property fmtid="{D5CDD505-2E9C-101B-9397-08002B2CF9AE}" pid="10" name="DM_DISPVERSIONINFOOTER">
    <vt:i4>0</vt:i4>
  </property>
  <property fmtid="{D5CDD505-2E9C-101B-9397-08002B2CF9AE}" pid="11" name="DM_PROMPTFORVERSION">
    <vt:i4>0</vt:i4>
  </property>
  <property fmtid="{D5CDD505-2E9C-101B-9397-08002B2CF9AE}" pid="12" name="DM_VERSION">
    <vt:i4>1</vt:i4>
  </property>
  <property fmtid="{D5CDD505-2E9C-101B-9397-08002B2CF9AE}" pid="13" name="DM_DISPFILENAMEINFOOTER">
    <vt:lpwstr>313763_466.docx</vt:lpwstr>
  </property>
  <property fmtid="{D5CDD505-2E9C-101B-9397-08002B2CF9AE}" pid="14" name="DM_PHONEBOOK">
    <vt:lpwstr>Minter Ellison GC (No Fees Charged)</vt:lpwstr>
  </property>
  <property fmtid="{D5CDD505-2E9C-101B-9397-08002B2CF9AE}" pid="15" name="DM_AFTYDOCID">
    <vt:i4>2161291</vt:i4>
  </property>
  <property fmtid="{D5CDD505-2E9C-101B-9397-08002B2CF9AE}" pid="16" name="DM_AFTYPDFDOCID">
    <vt:i4>2161292</vt:i4>
  </property>
</Properties>
</file>